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ind w:left="640" w:left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topLinePunct/>
        <w:ind w:left="640" w:leftChars="0"/>
        <w:jc w:val="center"/>
        <w:rPr>
          <w:rFonts w:hint="eastAsia" w:ascii="Times New Roman" w:hAnsi="Times New Roman" w:eastAsia="方正仿宋_GBK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40"/>
          <w:szCs w:val="40"/>
          <w:lang w:val="en-US" w:eastAsia="zh-CN"/>
        </w:rPr>
        <w:t>2021年度四川省会计高端人才（行政事业类）汇总表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上报区（市）县名称：    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531"/>
        <w:gridCol w:w="5644"/>
        <w:gridCol w:w="331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5644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1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44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44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44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44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1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644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上报人：                 联系电话：                                  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上报时间：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92EAA"/>
    <w:rsid w:val="544768D1"/>
    <w:rsid w:val="679755C1"/>
    <w:rsid w:val="7B7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2021-03-11T08:07:00Z</dcterms:created>
  <dc:creator>Lenovo</dc:creator>
  <cp:lastModifiedBy>孙宁</cp:lastModifiedBy>
  <dcterms:modified xsi:type="dcterms:W3CDTF">2021-03-11T08:37:17Z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